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before="120" w:lineRule="auto"/>
        <w:jc w:val="center"/>
        <w:rPr/>
      </w:pPr>
      <w:r w:rsidDel="00000000" w:rsidR="00000000" w:rsidRPr="00000000">
        <w:rPr>
          <w:b w:val="1"/>
          <w:rtl w:val="0"/>
        </w:rPr>
        <w:t xml:space="preserve">PREGÃO ELETRÔNICO  Nº XX/XXXX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before="120" w:lineRule="auto"/>
        <w:ind w:right="-15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UNIVERSIDADE FEDERAL DO OESTE DA BAHIA</w:t>
      </w:r>
    </w:p>
    <w:p w:rsidR="00000000" w:rsidDel="00000000" w:rsidP="00000000" w:rsidRDefault="00000000" w:rsidRPr="00000000" w14:paraId="00000003">
      <w:pPr>
        <w:spacing w:after="120" w:before="120" w:lineRule="auto"/>
        <w:ind w:right="-15"/>
        <w:jc w:val="center"/>
        <w:rPr/>
      </w:pPr>
      <w:r w:rsidDel="00000000" w:rsidR="00000000" w:rsidRPr="00000000">
        <w:rPr>
          <w:rtl w:val="0"/>
        </w:rPr>
        <w:t xml:space="preserve">(Processo Administrativo n° 23520.008734/2024-49)</w:t>
      </w:r>
    </w:p>
    <w:p w:rsidR="00000000" w:rsidDel="00000000" w:rsidP="00000000" w:rsidRDefault="00000000" w:rsidRPr="00000000" w14:paraId="00000004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ANEXO VII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TERMO DE CONCILIAÇÃO JUDICIAL FIRMADO ENTRE O MINISTÉRIO PÚBLICO DO TRABALHO E A UNIÃO</w:t>
      </w:r>
    </w:p>
    <w:p w:rsidR="00000000" w:rsidDel="00000000" w:rsidP="00000000" w:rsidRDefault="00000000" w:rsidRPr="00000000" w14:paraId="00000007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 MINISTÉRIO PÚBLICO DO TRABALHO, neste ato representado pelo Procurador - Geral do Trabalho, Dr. Guilherme Mastrichi Basso, pela Vice-Procuradora-Geral do Trabalho, Dra. Guiomar Rechia Gomes, pelo Procurador- Chefe da PRT da 10ª Região, Dr. Brasilino Santos Ramos e pelo Procurador do Trabalho Dr. Fábio Leal Cardoso, e a UNIÃO, neste ato representada pelo Procurador-Geral da União, Dr. Moacir Antonio da Silva Machado, pela Sub Procuradora Regional da União - 1ª Região, Dra. Helia Maria de Oliveira Bettero e pelo Advogado da União, Dr. Mário Luiz Guerreiro;</w:t>
      </w:r>
    </w:p>
    <w:p w:rsidR="00000000" w:rsidDel="00000000" w:rsidP="00000000" w:rsidRDefault="00000000" w:rsidRPr="00000000" w14:paraId="00000009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CONSIDERANDO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que toda relação jurídica de trabalho cuja prestação laboral não eventual seja ofertada pessoalmente pelo obreiro, em estado de subordinação e mediante contraprestação pecuniária, será regida obrigatoriamente pela Consolidação das Leis do Trabalho ou por estatuto próprio, quando se tratar de relação de trabalho de natureza estatutária, com a Administração Pública;</w:t>
      </w:r>
    </w:p>
    <w:p w:rsidR="00000000" w:rsidDel="00000000" w:rsidP="00000000" w:rsidRDefault="00000000" w:rsidRPr="00000000" w14:paraId="0000000A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CONSIDERANDO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que a legislação consolidada em seu art. 9º, comina de nulidade absoluta todos os atos praticados com o intuito de desvirtuar, impedir ou fraudar a aplicação da lei trabalhista; </w:t>
      </w:r>
    </w:p>
    <w:p w:rsidR="00000000" w:rsidDel="00000000" w:rsidP="00000000" w:rsidRDefault="00000000" w:rsidRPr="00000000" w14:paraId="0000000B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CONSIDERANDO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que as sociedades cooperativas, segundo a Lei n. 5.764, de 16.12.1971, art. 4º, “(...) são sociedades de pessoas, com forma e natureza jurídica próprias, de natureza civil, não sujeitas à falência, constituídas para prestar serviços aos associados”.</w:t>
      </w:r>
    </w:p>
    <w:p w:rsidR="00000000" w:rsidDel="00000000" w:rsidP="00000000" w:rsidRDefault="00000000" w:rsidRPr="00000000" w14:paraId="0000000C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CONSIDERANDO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que as cooperativas podem prestar serviços a não associados somente em caráter excepcional e desde que tal faculdade atenda aos objetivos sociais previstos na sua norma estatutária, (art. 86, da Lei n. 5.764, de 16.12.1971), aspecto legal que revela a patente impossibilidade jurídica das cooperativas funcionarem como agências de locação de mão-de-obra terceirizada;</w:t>
      </w:r>
    </w:p>
    <w:p w:rsidR="00000000" w:rsidDel="00000000" w:rsidP="00000000" w:rsidRDefault="00000000" w:rsidRPr="00000000" w14:paraId="0000000D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CONSIDERANDO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que a administração pública está inexoravelmente jungida ao princípio da legalidade, e que a prática do merchandage é vedada pelo art. 3º, da CLT e repelida pela jurisprudência sumulada do C. TST (En. 331);</w:t>
      </w:r>
    </w:p>
    <w:p w:rsidR="00000000" w:rsidDel="00000000" w:rsidP="00000000" w:rsidRDefault="00000000" w:rsidRPr="00000000" w14:paraId="0000000E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CONSIDERANDO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que os trabalhadores aliciados por cooperativas de mão-de-obra, que prestam serviços de natureza subordinada à UNIÃO embora laborem em situação fática idêntica a dos empregados das empresas prestadoras de serviços terceirizáveis, encontram-se à margem de qualquer proteção jurídicolaboral, sendo-lhes sonegada a incidência de normas protetivas do trabalho, especialmente àquelas destinadas a tutelar a segurança e higidez do trabalho subordinado, o que afronta o princípio da isonomia, a dignidade da pessoa humana e os valores sociais do trabalho (arts. 5º, caput e 1º, III e IV da Constituição Federal);</w:t>
      </w:r>
    </w:p>
    <w:p w:rsidR="00000000" w:rsidDel="00000000" w:rsidP="00000000" w:rsidRDefault="00000000" w:rsidRPr="00000000" w14:paraId="0000000F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CONSIDERANDO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que num processo de terceirização o tomador dos serviços (no caso a administração pública) tem responsabilidade sucessiva por eventuais débitos trabalhistas do fornecedor de mão-de-obra, nos termos do Enunciado 331, do TST, o que poderia gerar graves prejuízos financeiros ao erário, na hipótese de se apurar a presença dos requisitos 52 do art. 3º, da CLT na atividade de intermediação de mão-de-obra patrocinada por falsas cooperativas;</w:t>
      </w:r>
    </w:p>
    <w:p w:rsidR="00000000" w:rsidDel="00000000" w:rsidP="00000000" w:rsidRDefault="00000000" w:rsidRPr="00000000" w14:paraId="00000010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CONSIDERANDO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o teor da Recomendação Para a Promoção das Cooperativas aprovada na 90ª sessão, da OIT – Organização Internacional do Trabalho, em junho de 2002, dispondo que os Estados devem implementar políticas no sentido de: “8.1.b Garantir que as cooperativas não sejam criadas para, ou direcionadas a, o não cumprimento das leis do trabalho ou usadas para estabelecer relações de emprego disfarçados, e combater pseudocooperativas que violam os direitos dos trabalhadores velando para que a lei trabalhista seja aplicada em todas as empresas.”</w:t>
      </w:r>
    </w:p>
    <w:p w:rsidR="00000000" w:rsidDel="00000000" w:rsidP="00000000" w:rsidRDefault="00000000" w:rsidRPr="00000000" w14:paraId="00000011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RESOLVEM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Celebrar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CONCILIAÇÃO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nos autos do Processo 01082-2002-020-10-00-0, em tramitação perante a MM. Vigésima Vara do Trabalho de Brasília-DF, mediante os seguintes termos:</w:t>
      </w:r>
    </w:p>
    <w:p w:rsidR="00000000" w:rsidDel="00000000" w:rsidP="00000000" w:rsidRDefault="00000000" w:rsidRPr="00000000" w14:paraId="00000013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Cláusula Primeira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– A UNIÃO abster-se-á de contratar trabalhadores, por meio de cooperativas de mão de obra, para a prestação de serviços ligados às suas atividades-fim ou meio, quando o labor, por sua própria natureza, demandar execução em estado de subordinação, quer em relação ao tomador, ou em relação ao fornecedor dos serviços, constituindo elemento essencial ao desenvolvimento e à prestação dos serviços terceirizados, sendo eles: </w:t>
      </w:r>
    </w:p>
    <w:p w:rsidR="00000000" w:rsidDel="00000000" w:rsidP="00000000" w:rsidRDefault="00000000" w:rsidRPr="00000000" w14:paraId="00000014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ab/>
        <w:t xml:space="preserve">a) Serviços de limpeza;</w:t>
      </w:r>
    </w:p>
    <w:p w:rsidR="00000000" w:rsidDel="00000000" w:rsidP="00000000" w:rsidRDefault="00000000" w:rsidRPr="00000000" w14:paraId="00000015">
      <w:pPr>
        <w:spacing w:after="0" w:line="240" w:lineRule="auto"/>
        <w:ind w:firstLine="72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b) Serviços de conservação;</w:t>
      </w:r>
    </w:p>
    <w:p w:rsidR="00000000" w:rsidDel="00000000" w:rsidP="00000000" w:rsidRDefault="00000000" w:rsidRPr="00000000" w14:paraId="00000016">
      <w:pPr>
        <w:spacing w:after="0" w:line="240" w:lineRule="auto"/>
        <w:ind w:firstLine="72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c) Serviços de segurança, de vigilância e de portaria;</w:t>
      </w:r>
    </w:p>
    <w:p w:rsidR="00000000" w:rsidDel="00000000" w:rsidP="00000000" w:rsidRDefault="00000000" w:rsidRPr="00000000" w14:paraId="00000017">
      <w:pPr>
        <w:spacing w:after="0" w:line="240" w:lineRule="auto"/>
        <w:ind w:firstLine="72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d) Serviços de recepção;</w:t>
      </w:r>
    </w:p>
    <w:p w:rsidR="00000000" w:rsidDel="00000000" w:rsidP="00000000" w:rsidRDefault="00000000" w:rsidRPr="00000000" w14:paraId="00000018">
      <w:pPr>
        <w:spacing w:after="0" w:line="240" w:lineRule="auto"/>
        <w:ind w:firstLine="72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e) Serviços de copeiragem;</w:t>
      </w:r>
    </w:p>
    <w:p w:rsidR="00000000" w:rsidDel="00000000" w:rsidP="00000000" w:rsidRDefault="00000000" w:rsidRPr="00000000" w14:paraId="00000019">
      <w:pPr>
        <w:spacing w:after="0" w:line="240" w:lineRule="auto"/>
        <w:ind w:firstLine="72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f) Serviços de reprografia;</w:t>
      </w:r>
    </w:p>
    <w:p w:rsidR="00000000" w:rsidDel="00000000" w:rsidP="00000000" w:rsidRDefault="00000000" w:rsidRPr="00000000" w14:paraId="0000001A">
      <w:pPr>
        <w:spacing w:after="0" w:line="240" w:lineRule="auto"/>
        <w:ind w:firstLine="72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g) Serviços de telefonia;</w:t>
      </w:r>
    </w:p>
    <w:p w:rsidR="00000000" w:rsidDel="00000000" w:rsidP="00000000" w:rsidRDefault="00000000" w:rsidRPr="00000000" w14:paraId="0000001B">
      <w:pPr>
        <w:spacing w:after="0" w:line="240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h) Serviços de manutenção de prédios, de equipamentos, de veículos e de instalações;</w:t>
      </w:r>
    </w:p>
    <w:p w:rsidR="00000000" w:rsidDel="00000000" w:rsidP="00000000" w:rsidRDefault="00000000" w:rsidRPr="00000000" w14:paraId="0000001C">
      <w:pPr>
        <w:spacing w:after="0" w:line="240" w:lineRule="auto"/>
        <w:ind w:firstLine="72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i) Serviços de secretariado e secretariado executivo;</w:t>
      </w:r>
    </w:p>
    <w:p w:rsidR="00000000" w:rsidDel="00000000" w:rsidP="00000000" w:rsidRDefault="00000000" w:rsidRPr="00000000" w14:paraId="0000001D">
      <w:pPr>
        <w:spacing w:after="0" w:line="240" w:lineRule="auto"/>
        <w:ind w:firstLine="72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j) Serviços de auxiliar de escritório;</w:t>
      </w:r>
    </w:p>
    <w:p w:rsidR="00000000" w:rsidDel="00000000" w:rsidP="00000000" w:rsidRDefault="00000000" w:rsidRPr="00000000" w14:paraId="0000001E">
      <w:pPr>
        <w:spacing w:after="0" w:line="240" w:lineRule="auto"/>
        <w:ind w:firstLine="72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k) Serviços de auxiliar administrativo; </w:t>
      </w:r>
    </w:p>
    <w:p w:rsidR="00000000" w:rsidDel="00000000" w:rsidP="00000000" w:rsidRDefault="00000000" w:rsidRPr="00000000" w14:paraId="0000001F">
      <w:pPr>
        <w:spacing w:after="0" w:line="240" w:lineRule="auto"/>
        <w:ind w:firstLine="72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l) Serviços de office boy (contínuo);</w:t>
      </w:r>
    </w:p>
    <w:p w:rsidR="00000000" w:rsidDel="00000000" w:rsidP="00000000" w:rsidRDefault="00000000" w:rsidRPr="00000000" w14:paraId="00000020">
      <w:pPr>
        <w:spacing w:after="0" w:line="240" w:lineRule="auto"/>
        <w:ind w:firstLine="72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m) Serviços de digitação;</w:t>
      </w:r>
    </w:p>
    <w:p w:rsidR="00000000" w:rsidDel="00000000" w:rsidP="00000000" w:rsidRDefault="00000000" w:rsidRPr="00000000" w14:paraId="00000021">
      <w:pPr>
        <w:spacing w:after="0" w:line="240" w:lineRule="auto"/>
        <w:ind w:firstLine="72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n) Serviços de assessoria de imprensa e de relações públicas;</w:t>
      </w:r>
    </w:p>
    <w:p w:rsidR="00000000" w:rsidDel="00000000" w:rsidP="00000000" w:rsidRDefault="00000000" w:rsidRPr="00000000" w14:paraId="00000022">
      <w:pPr>
        <w:spacing w:after="0" w:line="240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o) Serviços de motorista, no caso de os veículos serem fornecidos pelo próprio órgão licitante;</w:t>
      </w:r>
    </w:p>
    <w:p w:rsidR="00000000" w:rsidDel="00000000" w:rsidP="00000000" w:rsidRDefault="00000000" w:rsidRPr="00000000" w14:paraId="00000023">
      <w:pPr>
        <w:spacing w:after="0" w:line="240" w:lineRule="auto"/>
        <w:ind w:firstLine="72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p) Serviços de ascensorista;</w:t>
      </w:r>
    </w:p>
    <w:p w:rsidR="00000000" w:rsidDel="00000000" w:rsidP="00000000" w:rsidRDefault="00000000" w:rsidRPr="00000000" w14:paraId="00000024">
      <w:pPr>
        <w:spacing w:after="0" w:line="240" w:lineRule="auto"/>
        <w:ind w:firstLine="72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q) Serviços de enfermagem; e</w:t>
      </w:r>
    </w:p>
    <w:p w:rsidR="00000000" w:rsidDel="00000000" w:rsidP="00000000" w:rsidRDefault="00000000" w:rsidRPr="00000000" w14:paraId="00000025">
      <w:pPr>
        <w:ind w:firstLine="72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r) Serviços de agentes comunitários de saúde.</w:t>
      </w:r>
    </w:p>
    <w:p w:rsidR="00000000" w:rsidDel="00000000" w:rsidP="00000000" w:rsidRDefault="00000000" w:rsidRPr="00000000" w14:paraId="00000026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Parágrafo Primeiro – O disposto nesta Cláusula não autoriza outras formas de terceirização sem previsão legal.</w:t>
      </w:r>
    </w:p>
    <w:p w:rsidR="00000000" w:rsidDel="00000000" w:rsidP="00000000" w:rsidRDefault="00000000" w:rsidRPr="00000000" w14:paraId="00000027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Parágrafo Segundo – As partes podem, a qualquer momento, mediante comunicação e acordos prévios, ampliar o rol de serviços elencados no caput.</w:t>
      </w:r>
    </w:p>
    <w:p w:rsidR="00000000" w:rsidDel="00000000" w:rsidP="00000000" w:rsidRDefault="00000000" w:rsidRPr="00000000" w14:paraId="00000028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Cláusula Segunda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- Considera-se cooperativa de mão-de-obra, aquela associação cuja atividade precípua seja a mera intermediação individual de trabalhadores de uma ou várias profissões (inexistindo assim vínculo de solidariedade entre seus associados), que não detenham qualquer meio de produção, e cujos serviços sejam prestados a terceiros, de forma individual (e não coletiva), pelos seus associados.</w:t>
      </w:r>
    </w:p>
    <w:p w:rsidR="00000000" w:rsidDel="00000000" w:rsidP="00000000" w:rsidRDefault="00000000" w:rsidRPr="00000000" w14:paraId="00000029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Cláusula Terceira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- A UNIÃO obriga-se a estabelecer regras claras nos editais de licitação, a fim de esclarecer a natureza dos serviços licitados, determinando, por conseguinte, se os mesmos podem ser prestados por empresas prestadoras de serviços (trabalhadores subordinados), cooperativas de trabalho, trabalhadores autônomos, avulsos ou eventuais;</w:t>
      </w:r>
    </w:p>
    <w:p w:rsidR="00000000" w:rsidDel="00000000" w:rsidP="00000000" w:rsidRDefault="00000000" w:rsidRPr="00000000" w14:paraId="0000002A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Parágrafo Primeiro - É lícita a contratação de genuínas sociedades cooperativas desde que os serviços licitados não estejam incluídos no rol inserido nas alíneas "a" a "r" da Cláusula Primeira e sejam prestados em caráter coletivo e com absoluta autonomia dos cooperados, seja em relação às cooperativas, seja em relação ao tomador dos serviços, devendo ser juntada, na fase de habilitação, listagem contendo o nome de todos os associados. Esclarecem as partes que somente os serviços podem ser terceirizados, restando absolutamente vedado o fornecimento (intermediação de mão-de-obra) de trabalhadores a órgãos públicos por cooperativas de qualquer natureza.</w:t>
      </w:r>
    </w:p>
    <w:p w:rsidR="00000000" w:rsidDel="00000000" w:rsidP="00000000" w:rsidRDefault="00000000" w:rsidRPr="00000000" w14:paraId="0000002B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Parágrafo Segundo – Os editais de licitação que se destinem a contratar os serviços disciplinados pela Cláusula Primeira deverão fazer expressa menção ao presente termo de conciliação e sua homologação, se possível transcrevendo-os na íntegra ou fazendo parte integrante desses editais, como anexo. </w:t>
      </w:r>
    </w:p>
    <w:p w:rsidR="00000000" w:rsidDel="00000000" w:rsidP="00000000" w:rsidRDefault="00000000" w:rsidRPr="00000000" w14:paraId="0000002C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Parágrafo Terceiro - Para a prestação de serviços em sua forma subordinada, a licitante vencedora do certame deverá comprovar a condição de empregadora dos prestadores de serviços para as quais se objetiva a contratação, constituindo-se esse requisito, condição obrigatória à assinatura do respectivo contrato.</w:t>
      </w:r>
    </w:p>
    <w:p w:rsidR="00000000" w:rsidDel="00000000" w:rsidP="00000000" w:rsidRDefault="00000000" w:rsidRPr="00000000" w14:paraId="0000002D">
      <w:pPr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DAS SANÇÕES PELO DESCUMPRIMENTO</w:t>
      </w:r>
    </w:p>
    <w:p w:rsidR="00000000" w:rsidDel="00000000" w:rsidP="00000000" w:rsidRDefault="00000000" w:rsidRPr="00000000" w14:paraId="0000002E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Cláusula Quarta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– A UNIÃO obriga-se ao pagamento de multa (astreinte) correspondente a R$ 1.000,00 (um mil reais) por trabalhador que esteja em desacordo com as condições estabelecidas no presente Termo de Conciliação, sendo a mesma reversível ao Fundo de Amparo ao Trabalhador (FAT).</w:t>
      </w:r>
    </w:p>
    <w:p w:rsidR="00000000" w:rsidDel="00000000" w:rsidP="00000000" w:rsidRDefault="00000000" w:rsidRPr="00000000" w14:paraId="0000002F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Parágrafo Primeiro – O servidor público que, em nome da Administração, firmar o contrato de prestação de serviços nas atividades relacionadas nas alíneas "a" a "r" da Cláusula Primeira, será responsável solidário por qualquer contratação irregular, respondendo pela multa prevista no caput, sem prejuízo das demais cominações legais. </w:t>
      </w:r>
    </w:p>
    <w:p w:rsidR="00000000" w:rsidDel="00000000" w:rsidP="00000000" w:rsidRDefault="00000000" w:rsidRPr="00000000" w14:paraId="00000030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Parágrafo Segundo – Em caso de notícia de descumprimento dos termos firmados neste ajuste, a UNIÃO, depois de intimada, terá prazo de 20 (vinte) dias para apresentar sua justificativa perante o Ministério Público do Trabalho.</w:t>
      </w:r>
    </w:p>
    <w:p w:rsidR="00000000" w:rsidDel="00000000" w:rsidP="00000000" w:rsidRDefault="00000000" w:rsidRPr="00000000" w14:paraId="00000031">
      <w:pPr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DA EXTENSÃO DO AJUSTE À ADMINISTRAÇÃO PÚBLICA INDIRETA</w:t>
      </w:r>
    </w:p>
    <w:p w:rsidR="00000000" w:rsidDel="00000000" w:rsidP="00000000" w:rsidRDefault="00000000" w:rsidRPr="00000000" w14:paraId="00000032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Cláusula Quinta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– A UNIÃO se compromete a recomendar o estabelecimento das mesmas diretrizes ora pactuadas em relação às autarquias, fundações públicas, empresas públicas e sociedades de economia mista, a fim de vincular todos os órgãos integrantes da administração pública indireta ao cumprimento do presente termo de conciliação, sendo que em relação às empresas públicas e sociedades de economia mista deverá ser dado conhecimento ao Departamento de Coordenação e Controle das Empresas Estatais – DEST, do Ministério do Planejamento, Orçamento e Gestão, ou órgão equivalente, para que discipline a matéria no âmbito de sua competência.</w:t>
      </w:r>
    </w:p>
    <w:p w:rsidR="00000000" w:rsidDel="00000000" w:rsidP="00000000" w:rsidRDefault="00000000" w:rsidRPr="00000000" w14:paraId="00000033">
      <w:pPr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DA HOMOLOGAÇÃO JUDICIAL DO AJUSTE</w:t>
      </w:r>
    </w:p>
    <w:p w:rsidR="00000000" w:rsidDel="00000000" w:rsidP="00000000" w:rsidRDefault="00000000" w:rsidRPr="00000000" w14:paraId="00000034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Cláusula Sexta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- As partes submetem os termos da presente conciliação à homologação do Juiz da MM. Vigésima Vara do Trabalho, para que o ajuste gere os seus efeitos jurídicos. </w:t>
      </w:r>
    </w:p>
    <w:p w:rsidR="00000000" w:rsidDel="00000000" w:rsidP="00000000" w:rsidRDefault="00000000" w:rsidRPr="00000000" w14:paraId="00000035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Cláusula Sétima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- Os termos da presente avença gerarão seus efeitos jurídicos a partir da data de sua homologação judicial. </w:t>
      </w:r>
    </w:p>
    <w:p w:rsidR="00000000" w:rsidDel="00000000" w:rsidP="00000000" w:rsidRDefault="00000000" w:rsidRPr="00000000" w14:paraId="00000036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Parágrafo único – Os contratos em vigor entre a UNIÃO e as Cooperativas, que contrariem o presente acordo, não serão renovados ou prorrogados. </w:t>
      </w:r>
    </w:p>
    <w:p w:rsidR="00000000" w:rsidDel="00000000" w:rsidP="00000000" w:rsidRDefault="00000000" w:rsidRPr="00000000" w14:paraId="00000037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Cláusula Oitava - A presente conciliação extingue o processo com exame do mérito apenas em relação à UNIÃO, prosseguindo o feito quanto aos demais réus. </w:t>
      </w:r>
    </w:p>
    <w:p w:rsidR="00000000" w:rsidDel="00000000" w:rsidP="00000000" w:rsidRDefault="00000000" w:rsidRPr="00000000" w14:paraId="00000038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Dito isto, por estarem as partes ajustadas e compromissadas, firmam a presente conciliação em cinco vias, a qual terá eficácia de título judicial, nos termos dos artigos 831, parágrafo único, e 876, caput, da CLT.</w:t>
      </w:r>
    </w:p>
    <w:p w:rsidR="00000000" w:rsidDel="00000000" w:rsidP="00000000" w:rsidRDefault="00000000" w:rsidRPr="00000000" w14:paraId="00000039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Brasília, 05 de junho de 2003.</w:t>
      </w:r>
    </w:p>
    <w:p w:rsidR="00000000" w:rsidDel="00000000" w:rsidP="00000000" w:rsidRDefault="00000000" w:rsidRPr="00000000" w14:paraId="0000003B">
      <w:pPr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GUILHERME MASTRICHI BASSO GUIOMAR RECHIA GOMES</w:t>
      </w:r>
    </w:p>
    <w:p w:rsidR="00000000" w:rsidDel="00000000" w:rsidP="00000000" w:rsidRDefault="00000000" w:rsidRPr="00000000" w14:paraId="0000003D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Procurador-Geral do Trabalho Vice-Procuradora-Geral do Trabalho</w:t>
      </w:r>
    </w:p>
    <w:p w:rsidR="00000000" w:rsidDel="00000000" w:rsidP="00000000" w:rsidRDefault="00000000" w:rsidRPr="00000000" w14:paraId="0000003E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BRASILINO SANTOS RAMOS FÁBIO LEAL CARDOSO</w:t>
      </w:r>
    </w:p>
    <w:p w:rsidR="00000000" w:rsidDel="00000000" w:rsidP="00000000" w:rsidRDefault="00000000" w:rsidRPr="00000000" w14:paraId="0000003F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Procurador-Chefe/PRT 10ª Região Procurador do Trabalho</w:t>
      </w:r>
    </w:p>
    <w:p w:rsidR="00000000" w:rsidDel="00000000" w:rsidP="00000000" w:rsidRDefault="00000000" w:rsidRPr="00000000" w14:paraId="00000040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MOACIR ANTONIO DA SILVA MACHADO</w:t>
      </w:r>
    </w:p>
    <w:p w:rsidR="00000000" w:rsidDel="00000000" w:rsidP="00000000" w:rsidRDefault="00000000" w:rsidRPr="00000000" w14:paraId="00000041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Procurador-Geral da União</w:t>
      </w:r>
    </w:p>
    <w:p w:rsidR="00000000" w:rsidDel="00000000" w:rsidP="00000000" w:rsidRDefault="00000000" w:rsidRPr="00000000" w14:paraId="00000042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HELIA MARIA DE OLIVEIRA BETTERO MÁRIOLUIZ GUERREIRO</w:t>
      </w:r>
    </w:p>
    <w:p w:rsidR="00000000" w:rsidDel="00000000" w:rsidP="00000000" w:rsidRDefault="00000000" w:rsidRPr="00000000" w14:paraId="0000004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Sub-Procuradora-Regional da União–1ª Região Advogado da União</w:t>
      </w:r>
    </w:p>
    <w:p w:rsidR="00000000" w:rsidDel="00000000" w:rsidP="00000000" w:rsidRDefault="00000000" w:rsidRPr="00000000" w14:paraId="0000004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Testemunhas:</w:t>
      </w:r>
    </w:p>
    <w:p w:rsidR="00000000" w:rsidDel="00000000" w:rsidP="00000000" w:rsidRDefault="00000000" w:rsidRPr="00000000" w14:paraId="00000046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GRIJALBO FERNANDES COUTINHO</w:t>
      </w:r>
    </w:p>
    <w:p w:rsidR="00000000" w:rsidDel="00000000" w:rsidP="00000000" w:rsidRDefault="00000000" w:rsidRPr="00000000" w14:paraId="00000047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Presidente da Associação Nacional dos Magistrados da Justiça do Trabalho – ANAMATRA</w:t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PAULO SÉRGIO DOMINGUES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Presidente da Associação dos Juízes Federais do Brasil – AJUFEB</w:t>
      </w:r>
    </w:p>
    <w:p w:rsidR="00000000" w:rsidDel="00000000" w:rsidP="00000000" w:rsidRDefault="00000000" w:rsidRPr="00000000" w14:paraId="0000004A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REGINA BUTRUS</w:t>
      </w:r>
    </w:p>
    <w:p w:rsidR="00000000" w:rsidDel="00000000" w:rsidP="00000000" w:rsidRDefault="00000000" w:rsidRPr="00000000" w14:paraId="0000004B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Presidente da Associação Nacional dos Procuradores do Trabalho – ANPT</w:t>
      </w:r>
    </w:p>
    <w:p w:rsidR="00000000" w:rsidDel="00000000" w:rsidP="00000000" w:rsidRDefault="00000000" w:rsidRPr="00000000" w14:paraId="0000004C">
      <w:pPr>
        <w:jc w:val="center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jc w:val="center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jc w:val="center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jc w:val="center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jc w:val="center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jc w:val="center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jc w:val="center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Calibri" w:cs="Calibri" w:eastAsia="Calibri" w:hAnsi="Calibri"/>
          <w:sz w:val="22"/>
          <w:szCs w:val="22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*Termo de Conciliação Judicial celebrado entre a União e o Ministério Público do Trabalho, nos autos do processo nº 1082/02, da 20ª Vara do Trabalho de Brasília/DF, homologado em 05 de junho de 2003.</w:t>
      </w:r>
    </w:p>
    <w:sectPr>
      <w:headerReference r:id="rId7" w:type="default"/>
      <w:footerReference r:id="rId8" w:type="default"/>
      <w:pgSz w:h="16838" w:w="11906" w:orient="portrait"/>
      <w:pgMar w:bottom="1418" w:top="1418" w:left="1701" w:right="1701" w:header="680" w:footer="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Rawline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9">
    <w:pPr>
      <w:spacing w:after="0" w:line="360" w:lineRule="auto"/>
      <w:jc w:val="center"/>
      <w:rPr>
        <w:sz w:val="14"/>
        <w:szCs w:val="14"/>
      </w:rPr>
    </w:pPr>
    <w:r w:rsidDel="00000000" w:rsidR="00000000" w:rsidRPr="00000000">
      <w:rPr>
        <w:sz w:val="14"/>
        <w:szCs w:val="14"/>
        <w:rtl w:val="0"/>
      </w:rPr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8">
    <w:pPr>
      <w:tabs>
        <w:tab w:val="center" w:leader="none" w:pos="4252"/>
        <w:tab w:val="right" w:leader="none" w:pos="8504"/>
      </w:tabs>
      <w:spacing w:after="0" w:line="240" w:lineRule="auto"/>
      <w:rPr>
        <w:color w:val="000000"/>
      </w:rPr>
    </w:pPr>
    <w:r w:rsidDel="00000000" w:rsidR="00000000" w:rsidRPr="00000000">
      <w:rPr>
        <w:rFonts w:ascii="Rawline" w:cs="Rawline" w:eastAsia="Rawline" w:hAnsi="Rawline"/>
        <w:sz w:val="20"/>
        <w:szCs w:val="20"/>
        <w:rtl w:val="0"/>
      </w:rPr>
      <w:t xml:space="preserve">TERMO DE REFERÊNCIA – SERVIÇOS COM DEDICAÇÃO EXCLUSIVA DE MÃO-DE-OBRA - PREGÃO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color w:val="2f5496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spacing w:after="0" w:line="240" w:lineRule="auto"/>
    </w:pPr>
    <w:rPr>
      <w:sz w:val="56"/>
      <w:szCs w:val="56"/>
    </w:rPr>
  </w:style>
  <w:style w:type="paragraph" w:styleId="Normal" w:default="1">
    <w:name w:val="Normal"/>
    <w:rsid w:val="001F0DEE"/>
  </w:style>
  <w:style w:type="paragraph" w:styleId="Ttulo1">
    <w:name w:val="heading 1"/>
    <w:basedOn w:val="Normal"/>
    <w:next w:val="Normal"/>
    <w:pPr>
      <w:keepNext w:val="1"/>
      <w:keepLines w:val="1"/>
      <w:spacing w:after="0" w:before="240"/>
      <w:outlineLvl w:val="0"/>
    </w:pPr>
    <w:rPr>
      <w:rFonts w:cs="Calibri" w:eastAsia="Calibri"/>
      <w:color w:val="2f5496"/>
      <w:sz w:val="32"/>
      <w:szCs w:val="32"/>
    </w:rPr>
  </w:style>
  <w:style w:type="paragraph" w:styleId="Ttulo2">
    <w:name w:val="heading 2"/>
    <w:basedOn w:val="Normal"/>
    <w:next w:val="Normal"/>
    <w:pPr>
      <w:keepNext w:val="1"/>
      <w:keepLines w:val="1"/>
      <w:spacing w:after="0" w:before="40"/>
      <w:outlineLvl w:val="1"/>
    </w:pPr>
    <w:rPr>
      <w:rFonts w:cs="Calibri" w:eastAsia="Calibri"/>
      <w:color w:val="2f5496"/>
      <w:sz w:val="26"/>
      <w:szCs w:val="26"/>
    </w:rPr>
  </w:style>
  <w:style w:type="paragraph" w:styleId="Ttulo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Cs w:val="24"/>
    </w:rPr>
  </w:style>
  <w:style w:type="paragraph" w:styleId="Ttulo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tulo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spacing w:after="0" w:line="240" w:lineRule="auto"/>
    </w:pPr>
    <w:rPr>
      <w:rFonts w:cs="Calibri" w:eastAsia="Calibri"/>
      <w:sz w:val="56"/>
      <w:szCs w:val="56"/>
    </w:rPr>
  </w:style>
  <w:style w:type="paragraph" w:styleId="Subttulo">
    <w:name w:val="Subtitle"/>
    <w:basedOn w:val="Normal"/>
    <w:next w:val="Normal"/>
    <w:rPr>
      <w:rFonts w:cs="Calibri" w:eastAsia="Calibri"/>
      <w:color w:val="5a5a5a"/>
      <w:sz w:val="22"/>
      <w:szCs w:val="22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AD022E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AD022E"/>
  </w:style>
  <w:style w:type="paragraph" w:styleId="Rodap">
    <w:name w:val="footer"/>
    <w:basedOn w:val="Normal"/>
    <w:link w:val="RodapChar"/>
    <w:uiPriority w:val="99"/>
    <w:unhideWhenUsed w:val="1"/>
    <w:rsid w:val="00AD022E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AD022E"/>
  </w:style>
  <w:style w:type="table" w:styleId="Tabelacomgrade">
    <w:name w:val="Table Grid"/>
    <w:basedOn w:val="Tabelanormal"/>
    <w:uiPriority w:val="39"/>
    <w:rsid w:val="00AD022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argrafodaLista">
    <w:name w:val="List Paragraph"/>
    <w:basedOn w:val="Normal"/>
    <w:uiPriority w:val="34"/>
    <w:qFormat w:val="1"/>
    <w:rsid w:val="00AD022E"/>
    <w:pPr>
      <w:ind w:left="720"/>
      <w:contextualSpacing w:val="1"/>
    </w:pPr>
  </w:style>
  <w:style w:type="character" w:styleId="Hyperlink">
    <w:name w:val="Hyperlink"/>
    <w:basedOn w:val="Fontepargpadro"/>
    <w:uiPriority w:val="99"/>
    <w:unhideWhenUsed w:val="1"/>
    <w:rsid w:val="00313AD9"/>
    <w:rPr>
      <w:color w:val="0000ff" w:themeColor="hyperlink"/>
      <w:u w:val="single"/>
    </w:rPr>
  </w:style>
  <w:style w:type="table" w:styleId="TabelaSimples3">
    <w:name w:val="Plain Table 3"/>
    <w:basedOn w:val="Tabelanormal"/>
    <w:uiPriority w:val="43"/>
    <w:rsid w:val="00486616"/>
    <w:pPr>
      <w:spacing w:after="0" w:line="240" w:lineRule="auto"/>
    </w:pPr>
    <w:tblPr>
      <w:tblStyleRowBandSize w:val="1"/>
      <w:tblStyleColBandSize w:val="1"/>
    </w:tblPr>
    <w:tblStylePr w:type="firstRow">
      <w:rPr>
        <w:b w:val="1"/>
        <w:bCs w:val="1"/>
        <w:caps w:val="1"/>
      </w:rPr>
      <w:tblPr/>
      <w:tcPr>
        <w:tcBorders>
          <w:bottom w:color="7f7f7f" w:space="0" w:sz="4" w:themeColor="text1" w:themeTint="000080" w:val="single"/>
        </w:tcBorders>
      </w:tcPr>
    </w:tblStylePr>
    <w:tblStylePr w:type="lastRow">
      <w:rPr>
        <w:b w:val="1"/>
        <w:bCs w:val="1"/>
        <w:caps w:val="1"/>
      </w:rPr>
      <w:tblPr/>
      <w:tcPr>
        <w:tcBorders>
          <w:top w:space="0" w:sz="0" w:val="nil"/>
        </w:tcBorders>
      </w:tcPr>
    </w:tblStylePr>
    <w:tblStylePr w:type="firstCol">
      <w:rPr>
        <w:b w:val="1"/>
        <w:bCs w:val="1"/>
        <w:caps w:val="1"/>
      </w:rPr>
      <w:tblPr/>
      <w:tcPr>
        <w:tcBorders>
          <w:right w:color="7f7f7f" w:space="0" w:sz="4" w:themeColor="text1" w:themeTint="000080" w:val="single"/>
        </w:tcBorders>
      </w:tcPr>
    </w:tblStylePr>
    <w:tblStylePr w:type="lastCol">
      <w:rPr>
        <w:b w:val="1"/>
        <w:bCs w:val="1"/>
        <w:caps w:val="1"/>
      </w:rPr>
      <w:tblPr/>
      <w:tcPr>
        <w:tcBorders>
          <w:left w:space="0" w:sz="0" w:val="nil"/>
        </w:tcBorders>
      </w:tcPr>
    </w:tblStylePr>
    <w:tblStylePr w:type="band1Vert">
      <w:tblPr/>
      <w:tcPr>
        <w:shd w:color="auto" w:fill="f2f2f2" w:themeFill="background1" w:themeFillShade="0000F2" w:val="clear"/>
      </w:tcPr>
    </w:tblStylePr>
    <w:tblStylePr w:type="band1Horz">
      <w:tblPr/>
      <w:tcPr>
        <w:shd w:color="auto" w:fill="f2f2f2" w:themeFill="background1" w:themeFillShade="0000F2" w:val="clear"/>
      </w:tcPr>
    </w:tblStylePr>
    <w:tblStylePr w:type="neCell">
      <w:tblPr/>
      <w:tcPr>
        <w:tcBorders>
          <w:left w:space="0" w:sz="0" w:val="nil"/>
        </w:tcBorders>
      </w:tcPr>
    </w:tblStylePr>
    <w:tblStylePr w:type="nwCell">
      <w:tblPr/>
      <w:tcPr>
        <w:tcBorders>
          <w:right w:space="0" w:sz="0" w:val="nil"/>
        </w:tcBorders>
      </w:tcPr>
    </w:tblStylePr>
  </w:style>
  <w:style w:type="table" w:styleId="TabeladeGrade3-nfase5">
    <w:name w:val="Grid Table 3 Accent 5"/>
    <w:basedOn w:val="Tabelanormal"/>
    <w:uiPriority w:val="48"/>
    <w:rsid w:val="00486616"/>
    <w:pPr>
      <w:spacing w:after="0"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 w:val="1"/>
        <w:iCs w:val="1"/>
      </w:rPr>
      <w:tblPr/>
      <w:tcPr>
        <w:tcBorders>
          <w:top w:space="0" w:sz="0" w:val="nil"/>
          <w:left w:space="0" w:sz="0" w:val="nil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i w:val="1"/>
        <w:iCs w:val="1"/>
      </w:rPr>
      <w:tblPr/>
      <w:tcPr>
        <w:tcBorders>
          <w:top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  <w:tblStylePr w:type="neCell">
      <w:tblPr/>
      <w:tcPr>
        <w:tcBorders>
          <w:bottom w:color="92cddc" w:space="0" w:sz="4" w:themeColor="accent5" w:themeTint="000099" w:val="single"/>
        </w:tcBorders>
      </w:tcPr>
    </w:tblStylePr>
    <w:tblStylePr w:type="nwCell">
      <w:tblPr/>
      <w:tcPr>
        <w:tcBorders>
          <w:bottom w:color="92cddc" w:space="0" w:sz="4" w:themeColor="accent5" w:themeTint="000099" w:val="single"/>
        </w:tcBorders>
      </w:tcPr>
    </w:tblStylePr>
    <w:tblStylePr w:type="seCell">
      <w:tblPr/>
      <w:tcPr>
        <w:tcBorders>
          <w:top w:color="92cddc" w:space="0" w:sz="4" w:themeColor="accent5" w:themeTint="000099" w:val="single"/>
        </w:tcBorders>
      </w:tcPr>
    </w:tblStylePr>
    <w:tblStylePr w:type="swCell">
      <w:tblPr/>
      <w:tcPr>
        <w:tcBorders>
          <w:top w:color="92cddc" w:space="0" w:sz="4" w:themeColor="accent5" w:themeTint="000099" w:val="single"/>
        </w:tcBorders>
      </w:tcPr>
    </w:tblStylePr>
  </w:style>
  <w:style w:type="table" w:styleId="TabeladeGrade2-nfase5">
    <w:name w:val="Grid Table 2 Accent 5"/>
    <w:basedOn w:val="Tabelanormal"/>
    <w:uiPriority w:val="47"/>
    <w:rsid w:val="00486616"/>
    <w:pPr>
      <w:spacing w:after="0" w:line="240" w:lineRule="auto"/>
    </w:pPr>
    <w:tblPr>
      <w:tblStyleRowBandSize w:val="1"/>
      <w:tblStyleColBandSize w:val="1"/>
      <w:tblBorders>
        <w:top w:color="92cddc" w:space="0" w:sz="2" w:themeColor="accent5" w:themeTint="000099" w:val="single"/>
        <w:bottom w:color="92cddc" w:space="0" w:sz="2" w:themeColor="accent5" w:themeTint="000099" w:val="single"/>
        <w:insideH w:color="92cddc" w:space="0" w:sz="2" w:themeColor="accent5" w:themeTint="000099" w:val="single"/>
        <w:insideV w:color="92cddc" w:space="0" w:sz="2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92cddc" w:space="0" w:sz="12" w:themeColor="accent5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92cddc" w:space="0" w:sz="2" w:themeColor="accent5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NormalWeb">
    <w:name w:val="Normal (Web)"/>
    <w:basedOn w:val="Normal"/>
    <w:uiPriority w:val="99"/>
    <w:semiHidden w:val="1"/>
    <w:unhideWhenUsed w:val="1"/>
    <w:rsid w:val="00B3300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Cs w:val="24"/>
    </w:rPr>
  </w:style>
  <w:style w:type="paragraph" w:styleId="Normal0" w:customStyle="1">
    <w:name w:val="Normal0"/>
    <w:qFormat w:val="1"/>
    <w:rsid w:val="009A704A"/>
    <w:pPr>
      <w:spacing w:after="0" w:line="240" w:lineRule="auto"/>
    </w:pPr>
    <w:rPr>
      <w:rFonts w:ascii="Arial" w:cs="Tahoma" w:eastAsia="Arial" w:hAnsi="Arial"/>
      <w:sz w:val="20"/>
      <w:szCs w:val="24"/>
    </w:rPr>
  </w:style>
  <w:style w:type="table" w:styleId="TabeladeGrade5Escura-nfase5">
    <w:name w:val="Grid Table 5 Dark Accent 5"/>
    <w:basedOn w:val="Tabelanormal"/>
    <w:uiPriority w:val="50"/>
    <w:rsid w:val="003B6D71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daeef3" w:themeFill="accent5" w:themeFillTint="000033" w:val="clear"/>
    </w:tcPr>
    <w:tblStylePr w:type="firstRow">
      <w:rPr>
        <w:b w:val="1"/>
        <w:bCs w:val="1"/>
        <w:color w:val="ffffff" w:themeColor="background1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b6dde8" w:themeFill="accent5" w:themeFillTint="000066" w:val="clear"/>
      </w:tcPr>
    </w:tblStylePr>
  </w:style>
  <w:style w:type="table" w:styleId="TabeladeGrade4-nfase5">
    <w:name w:val="Grid Table 4 Accent 5"/>
    <w:basedOn w:val="Tabelanormal"/>
    <w:uiPriority w:val="49"/>
    <w:rsid w:val="007C5254"/>
    <w:pPr>
      <w:spacing w:after="0"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  <w:color w:val="ffffff" w:themeColor="background1"/>
      </w:rPr>
      <w:tblPr/>
      <w:tcPr>
        <w:tcBorders>
          <w:top w:color="4bacc6" w:space="0" w:sz="4" w:themeColor="accent5" w:val="single"/>
          <w:left w:color="4bacc6" w:space="0" w:sz="4" w:themeColor="accent5" w:val="single"/>
          <w:bottom w:color="4bacc6" w:space="0" w:sz="4" w:themeColor="accent5" w:val="single"/>
          <w:right w:color="4bacc6" w:space="0" w:sz="4" w:themeColor="accent5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rPr>
        <w:b w:val="1"/>
        <w:bCs w:val="1"/>
      </w:rPr>
      <w:tblPr/>
      <w:tcPr>
        <w:tcBorders>
          <w:top w:color="4bacc6" w:space="0" w:sz="4" w:themeColor="accent5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/>
    <w:rPr>
      <w:color w:val="5a5a5a"/>
      <w:sz w:val="22"/>
      <w:szCs w:val="22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FTDrEaMj8IfFvt+rfAEp/U9ASQ==">CgMxLjAyCGguZ2pkZ3hzOAByITFkNnpIMFVWM2Z5Uzl3TmQ2NHc0aGxoaFphOFRhVlpfNQ==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2024-09-13T10:54:00Z</dcterms:created>
  <dc:creator>Jonathan Thomaz Magueta</dc:creator>
</cp:coreProperties>
</file>